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639695" w14:textId="77777777" w:rsidR="0090285B" w:rsidRDefault="0090285B" w:rsidP="0090285B">
      <w:pPr>
        <w:jc w:val="center"/>
      </w:pPr>
    </w:p>
    <w:p w14:paraId="236C1778" w14:textId="77777777" w:rsidR="00E95668" w:rsidRDefault="00E95668" w:rsidP="0090285B">
      <w:pPr>
        <w:jc w:val="center"/>
      </w:pPr>
    </w:p>
    <w:p w14:paraId="5DA174B6" w14:textId="22F76ED5" w:rsidR="0090285B" w:rsidRDefault="0090285B" w:rsidP="0090285B">
      <w:pPr>
        <w:jc w:val="center"/>
      </w:pPr>
      <w:r>
        <w:t>UNIVERSIDAD DE LA COSTA</w:t>
      </w:r>
    </w:p>
    <w:p w14:paraId="631865E3" w14:textId="77777777" w:rsidR="0090285B" w:rsidRDefault="0090285B" w:rsidP="0090285B">
      <w:pPr>
        <w:jc w:val="center"/>
      </w:pPr>
    </w:p>
    <w:p w14:paraId="04772B77" w14:textId="17B58113" w:rsidR="0090285B" w:rsidRDefault="0090285B" w:rsidP="0090285B">
      <w:pPr>
        <w:jc w:val="center"/>
      </w:pPr>
      <w:r>
        <w:t>INSTALACIONES HIDROSANITARIAS</w:t>
      </w:r>
    </w:p>
    <w:p w14:paraId="21013901" w14:textId="77777777" w:rsidR="0090285B" w:rsidRDefault="0090285B" w:rsidP="0090285B">
      <w:pPr>
        <w:jc w:val="center"/>
      </w:pPr>
    </w:p>
    <w:p w14:paraId="11EA9BF6" w14:textId="4F77E4BF" w:rsidR="0090285B" w:rsidRDefault="00E95668" w:rsidP="0090285B">
      <w:pPr>
        <w:jc w:val="center"/>
      </w:pPr>
      <w:r>
        <w:t>“</w:t>
      </w:r>
      <w:r w:rsidR="0090285B">
        <w:t>RESUMEN DE LA CHARLA CONTRA INCENDIOS</w:t>
      </w:r>
      <w:r>
        <w:t>”</w:t>
      </w:r>
    </w:p>
    <w:p w14:paraId="0244B4A8" w14:textId="77777777" w:rsidR="0090285B" w:rsidRDefault="0090285B" w:rsidP="0090285B">
      <w:pPr>
        <w:jc w:val="center"/>
      </w:pPr>
    </w:p>
    <w:p w14:paraId="2FED5635" w14:textId="77777777" w:rsidR="0090285B" w:rsidRDefault="0090285B" w:rsidP="0090285B">
      <w:pPr>
        <w:jc w:val="center"/>
      </w:pPr>
    </w:p>
    <w:p w14:paraId="6359E803" w14:textId="29256350" w:rsidR="0090285B" w:rsidRDefault="0090285B" w:rsidP="0090285B">
      <w:pPr>
        <w:jc w:val="center"/>
      </w:pPr>
      <w:r>
        <w:t>PROFESORA:</w:t>
      </w:r>
    </w:p>
    <w:p w14:paraId="48F4194E" w14:textId="406D8493" w:rsidR="0090285B" w:rsidRDefault="0090285B" w:rsidP="0090285B">
      <w:pPr>
        <w:jc w:val="center"/>
      </w:pPr>
      <w:r>
        <w:t>MARTHA LIGIA</w:t>
      </w:r>
    </w:p>
    <w:p w14:paraId="0EDAF13E" w14:textId="77777777" w:rsidR="0090285B" w:rsidRDefault="0090285B" w:rsidP="0090285B">
      <w:pPr>
        <w:jc w:val="center"/>
      </w:pPr>
    </w:p>
    <w:p w14:paraId="0BD02CCF" w14:textId="77777777" w:rsidR="0090285B" w:rsidRDefault="0090285B" w:rsidP="0090285B">
      <w:pPr>
        <w:jc w:val="center"/>
      </w:pPr>
    </w:p>
    <w:p w14:paraId="563E4662" w14:textId="7DF004C9" w:rsidR="0090285B" w:rsidRDefault="0090285B" w:rsidP="0090285B">
      <w:pPr>
        <w:jc w:val="center"/>
      </w:pPr>
      <w:r>
        <w:t>ESTUDIANTES:</w:t>
      </w:r>
    </w:p>
    <w:p w14:paraId="722DD31A" w14:textId="34EDA6F2" w:rsidR="0090285B" w:rsidRDefault="0090285B" w:rsidP="0090285B">
      <w:pPr>
        <w:jc w:val="center"/>
      </w:pPr>
      <w:r>
        <w:t>GLENYS PACHECO</w:t>
      </w:r>
    </w:p>
    <w:p w14:paraId="1FB45C79" w14:textId="14330770" w:rsidR="0090285B" w:rsidRDefault="0090285B" w:rsidP="0090285B">
      <w:pPr>
        <w:jc w:val="center"/>
      </w:pPr>
      <w:r>
        <w:t>DANNA TABORDA</w:t>
      </w:r>
    </w:p>
    <w:p w14:paraId="19F05F74" w14:textId="4636707A" w:rsidR="0090285B" w:rsidRDefault="0090285B" w:rsidP="0090285B">
      <w:pPr>
        <w:jc w:val="center"/>
      </w:pPr>
      <w:r>
        <w:t>YESSICA ROMERO</w:t>
      </w:r>
    </w:p>
    <w:p w14:paraId="788861C9" w14:textId="12B3039A" w:rsidR="0090285B" w:rsidRDefault="0090285B" w:rsidP="0090285B">
      <w:pPr>
        <w:jc w:val="center"/>
      </w:pPr>
    </w:p>
    <w:p w14:paraId="415B6D20" w14:textId="77777777" w:rsidR="0090285B" w:rsidRDefault="0090285B" w:rsidP="0090285B">
      <w:pPr>
        <w:jc w:val="center"/>
      </w:pPr>
    </w:p>
    <w:p w14:paraId="0EB7EEBD" w14:textId="6F940789" w:rsidR="0090285B" w:rsidRDefault="0090285B" w:rsidP="0090285B">
      <w:pPr>
        <w:jc w:val="center"/>
      </w:pPr>
      <w:r>
        <w:t>BARRANQUILLA, 2024.</w:t>
      </w:r>
    </w:p>
    <w:p w14:paraId="311C3A5A" w14:textId="77777777" w:rsidR="0090285B" w:rsidRDefault="0090285B" w:rsidP="0090285B">
      <w:pPr>
        <w:jc w:val="center"/>
      </w:pPr>
    </w:p>
    <w:p w14:paraId="5D8CCE55" w14:textId="5A37549A" w:rsidR="0090285B" w:rsidRDefault="0090285B" w:rsidP="0090285B">
      <w:pPr>
        <w:jc w:val="center"/>
      </w:pPr>
      <w:r>
        <w:t>6TO SEMESTRE.</w:t>
      </w:r>
    </w:p>
    <w:p w14:paraId="300BDC93" w14:textId="77777777" w:rsidR="0090285B" w:rsidRDefault="0090285B" w:rsidP="0090285B">
      <w:pPr>
        <w:jc w:val="center"/>
      </w:pPr>
    </w:p>
    <w:p w14:paraId="3F7F7C41" w14:textId="77777777" w:rsidR="0090285B" w:rsidRDefault="0090285B" w:rsidP="00770775"/>
    <w:p w14:paraId="471A1093" w14:textId="77777777" w:rsidR="0090285B" w:rsidRDefault="0090285B" w:rsidP="00770775"/>
    <w:p w14:paraId="277991A9" w14:textId="77777777" w:rsidR="0090285B" w:rsidRDefault="0090285B" w:rsidP="00770775"/>
    <w:p w14:paraId="0CE626B8" w14:textId="77777777" w:rsidR="0090285B" w:rsidRDefault="0090285B" w:rsidP="00770775"/>
    <w:p w14:paraId="728A4191" w14:textId="458F50D3" w:rsidR="00770775" w:rsidRPr="00770775" w:rsidRDefault="00770775" w:rsidP="00770775">
      <w:r w:rsidRPr="00770775">
        <w:lastRenderedPageBreak/>
        <w:t>La</w:t>
      </w:r>
      <w:r w:rsidRPr="00770775">
        <w:t xml:space="preserve"> charla</w:t>
      </w:r>
      <w:r>
        <w:t xml:space="preserve"> fue</w:t>
      </w:r>
      <w:r w:rsidRPr="00770775">
        <w:t xml:space="preserve"> liderada por la empresa</w:t>
      </w:r>
      <w:r w:rsidRPr="00770775">
        <w:t xml:space="preserve"> </w:t>
      </w:r>
      <w:r>
        <w:t xml:space="preserve">HIC S.A.S </w:t>
      </w:r>
      <w:r w:rsidRPr="00770775">
        <w:t>especializada en sistemas hidráulicos incluyendo la R.C.I, Detección y extinción, que operan bajo las normas NTC y NFPA</w:t>
      </w:r>
      <w:r w:rsidR="00CA5983">
        <w:t>. Enseñándonos</w:t>
      </w:r>
      <w:r w:rsidRPr="00770775">
        <w:t xml:space="preserve"> a entender la importancia de seguir las normativas legales</w:t>
      </w:r>
      <w:r w:rsidR="00CA5983">
        <w:t xml:space="preserve"> de obligación y cumplimiento de diseños</w:t>
      </w:r>
      <w:r w:rsidRPr="00770775">
        <w:t xml:space="preserve"> y contar con los sistemas adecuados de extinción para proteger las edificaciones y, sobre todo, las vidas humanas en caso de incendio.</w:t>
      </w:r>
      <w:r>
        <w:t xml:space="preserve"> </w:t>
      </w:r>
      <w:r w:rsidRPr="00770775">
        <w:t xml:space="preserve">Se tocaron dos temas fundamentales: el marco normativo obligatorio y los </w:t>
      </w:r>
      <w:r w:rsidR="00CA5983">
        <w:t xml:space="preserve">tipos de </w:t>
      </w:r>
      <w:r w:rsidRPr="00770775">
        <w:t xml:space="preserve">sistemas </w:t>
      </w:r>
      <w:r w:rsidR="00CA5983">
        <w:t>contra</w:t>
      </w:r>
      <w:r w:rsidRPr="00770775">
        <w:t xml:space="preserve"> incendios, elementos que son claves en la seguridad de edificaciones.</w:t>
      </w:r>
    </w:p>
    <w:p w14:paraId="3D024778" w14:textId="5766450C" w:rsidR="00770775" w:rsidRPr="00770775" w:rsidRDefault="00770775" w:rsidP="00770775">
      <w:r w:rsidRPr="00770775">
        <w:t>El Marco Normativo Obligatorio en Colombia para la seguridad contra incendios abarca leyes como la Ley 1575/2012 (Ley General de Bomberos)</w:t>
      </w:r>
      <w:r w:rsidR="00CA5983">
        <w:t xml:space="preserve"> Art. 42</w:t>
      </w:r>
      <w:r w:rsidRPr="00770775">
        <w:t xml:space="preserve">, la Ley 400/1997 (criterios de diseño y supervisión de edificaciones) </w:t>
      </w:r>
      <w:r w:rsidR="00CA5983">
        <w:t xml:space="preserve">que incluye el reglamento colombiano de construcción Sismo </w:t>
      </w:r>
      <w:r w:rsidR="00EC5AD3">
        <w:t>Resistente NSR</w:t>
      </w:r>
      <w:r w:rsidR="00CA5983">
        <w:t xml:space="preserve">-10 (Titulo A, </w:t>
      </w:r>
      <w:r w:rsidR="00EC5AD3">
        <w:t>Título</w:t>
      </w:r>
      <w:r w:rsidR="00CA5983">
        <w:t xml:space="preserve"> I, Titulo J y Titulo K); </w:t>
      </w:r>
      <w:r w:rsidRPr="00770775">
        <w:t xml:space="preserve">y la Ley 1796/2016 (protección al comprador de vivienda y fortalecimiento público). </w:t>
      </w:r>
      <w:r w:rsidR="00CA5983">
        <w:t>Haciendo comparativos entre la Ley 400/97 y la Ley 1796</w:t>
      </w:r>
      <w:r w:rsidR="00FD4412">
        <w:t>/ 2016</w:t>
      </w:r>
      <w:r w:rsidR="00CA5983">
        <w:t xml:space="preserve"> </w:t>
      </w:r>
      <w:r w:rsidR="00FD4412">
        <w:t>sobre cuales son las sanciones y multas, las entidades territoriales, la supervisión técnica, y los años que poseen o no cada una de estas leyes según el plan de prevención de accidentes mayores (PPAM).</w:t>
      </w:r>
    </w:p>
    <w:p w14:paraId="1B7CA0BC" w14:textId="0352CBA0" w:rsidR="00770775" w:rsidRPr="00770775" w:rsidRDefault="00EC5AD3" w:rsidP="00770775">
      <w:r>
        <w:t>Fueron explícitos los requisitos del título J de protección contra incendios para facilitar las tareas de evacuación de los ocupantes de las edificaciones, el proceso de extinción de incendios en las edificaciones, reducir en todo lo posible el riesgo de incendios, minimizar el riesgo de colapso de la estructura durante las labores de evacuación y extinción, y evitar la propagación del fuego tanto dentro de las edificaciones como hacia las estructuras aledañas.</w:t>
      </w:r>
      <w:r w:rsidR="0006489D">
        <w:t xml:space="preserve"> Al igual que el Titulo K en la que toda edificación que se construya o altere debe clasificarse de acuerdo con su ocupación principal o dominante ya sean de almacenamiento, comercial, especial, fabril e industrial, institucional, lugares de reunión, residencial, temporales, mixtos y otros de alta peligrosidad. </w:t>
      </w:r>
    </w:p>
    <w:p w14:paraId="040B1E98" w14:textId="1A4D1461" w:rsidR="00770775" w:rsidRPr="00770775" w:rsidRDefault="00770775" w:rsidP="00770775">
      <w:r w:rsidRPr="00770775">
        <w:t>Además, se mencionaron las normas importantes como la NTC 1669, NTC 2301 y la NFPA para asegurar que los sistemas contra incendios cumplan con los estándares nacionales e internacionales.</w:t>
      </w:r>
      <w:r w:rsidR="00A80A86">
        <w:t xml:space="preserve"> </w:t>
      </w:r>
    </w:p>
    <w:p w14:paraId="505E6A12" w14:textId="6D2C2548" w:rsidR="00A80A86" w:rsidRPr="00770775" w:rsidRDefault="00770775" w:rsidP="00A80A86">
      <w:r w:rsidRPr="00770775">
        <w:t xml:space="preserve">En los </w:t>
      </w:r>
      <w:r w:rsidR="00A80A86">
        <w:t xml:space="preserve">Tipos de </w:t>
      </w:r>
      <w:r w:rsidRPr="00770775">
        <w:t xml:space="preserve">Sistemas </w:t>
      </w:r>
      <w:r w:rsidR="00A80A86">
        <w:t>contra incendios</w:t>
      </w:r>
      <w:r w:rsidRPr="00770775">
        <w:t xml:space="preserve">, </w:t>
      </w:r>
      <w:r w:rsidR="00A80A86">
        <w:t xml:space="preserve">hablaron </w:t>
      </w:r>
      <w:r w:rsidR="00A80A86" w:rsidRPr="00770775">
        <w:t>sobre la protección pasiva que se refiere a</w:t>
      </w:r>
      <w:r w:rsidR="00A80A86">
        <w:t>l proceso mediante</w:t>
      </w:r>
      <w:r w:rsidR="00A80A86" w:rsidRPr="00770775">
        <w:t xml:space="preserve"> que protegen contra el fuego recubriendo los elementos con materiales que proveen aislamiento térmico</w:t>
      </w:r>
      <w:r w:rsidR="00801EB8">
        <w:t xml:space="preserve"> ya sean muros, puertas, materiales resistentes al fuego retardantes</w:t>
      </w:r>
      <w:r w:rsidR="00A80A86" w:rsidRPr="00770775">
        <w:t>.</w:t>
      </w:r>
      <w:r w:rsidR="00A80A86">
        <w:t xml:space="preserve"> </w:t>
      </w:r>
      <w:r w:rsidR="00A80A86" w:rsidRPr="00770775">
        <w:t>Se destacan los Muros cortafuego y</w:t>
      </w:r>
      <w:r w:rsidR="00801EB8">
        <w:t>/</w:t>
      </w:r>
      <w:r w:rsidR="00A80A86" w:rsidRPr="00770775">
        <w:t>o puertas cortafuego con barra antipánico.</w:t>
      </w:r>
    </w:p>
    <w:p w14:paraId="4AD8A990" w14:textId="7AA68482" w:rsidR="00A80A86" w:rsidRDefault="00801EB8" w:rsidP="00A80A86">
      <w:r>
        <w:t>E</w:t>
      </w:r>
      <w:r w:rsidR="00A80A86" w:rsidRPr="00770775">
        <w:t xml:space="preserve">n la parte de Protección activa </w:t>
      </w:r>
      <w:r>
        <w:t xml:space="preserve">que se establece en el titulo J (cap. J4) </w:t>
      </w:r>
      <w:r w:rsidR="00A80A86" w:rsidRPr="00770775">
        <w:t>está nos habla de la instalación de mecanismos automáticos de detección y extinción de incendios.</w:t>
      </w:r>
      <w:r w:rsidR="00A80A86">
        <w:t xml:space="preserve"> </w:t>
      </w:r>
      <w:r w:rsidR="00A80A86" w:rsidRPr="00770775">
        <w:t xml:space="preserve">Los cuales incluyen </w:t>
      </w:r>
      <w:r w:rsidR="007606E8" w:rsidRPr="00770775">
        <w:t>sistemas detectores</w:t>
      </w:r>
      <w:r w:rsidR="00A80A86" w:rsidRPr="00770775">
        <w:t xml:space="preserve"> de humo, alarmas sonoras, sistemas de extinción con productos químicos y rociadores de agua</w:t>
      </w:r>
      <w:r>
        <w:t>, entre otros.</w:t>
      </w:r>
    </w:p>
    <w:p w14:paraId="38DB00F9" w14:textId="0EC4AD40" w:rsidR="00801EB8" w:rsidRDefault="00801EB8" w:rsidP="00770775">
      <w:r>
        <w:lastRenderedPageBreak/>
        <w:t xml:space="preserve">Cuando mencionaron el diseño y funcionamiento se enfocaron en los componentes de un sistema RCI, conformados por el sistema de detección, el sistema de extinción, los componentes de un cuarto de bombas, los elementos que componen una red contra incendios </w:t>
      </w:r>
      <w:r w:rsidR="00DC2371">
        <w:t>y la normativa en accesorios y equipos.</w:t>
      </w:r>
    </w:p>
    <w:p w14:paraId="69C070DF" w14:textId="0B3EE15A" w:rsidR="00D92136" w:rsidRDefault="00DC2371" w:rsidP="00770775">
      <w:r>
        <w:t xml:space="preserve">Los Sistemas de Detección que están diseñados para alertar al personal encargado de los paneles y todas las personas que estén en la edificación sobre la presencia de un fuego en su etapa inicial. Ejemplos de Dispositivos iniciadores son los sensores de humo </w:t>
      </w:r>
      <w:r w:rsidR="007606E8">
        <w:t>fotoeléctrico</w:t>
      </w:r>
      <w:r>
        <w:t xml:space="preserve">, sensor de humo iónico, sensor de humo por haz de luz proyectado, detector de gases, detectores térmicos, detectores </w:t>
      </w:r>
      <w:r w:rsidR="007606E8">
        <w:t>velocimetritos</w:t>
      </w:r>
      <w:r>
        <w:t xml:space="preserve">, detectores por aspiración de aire, detectores de llama, la conexión sensor de flujo y apertura o cierre de válvula y la estación manual. </w:t>
      </w:r>
    </w:p>
    <w:p w14:paraId="6BC0B98A" w14:textId="51C8CB94" w:rsidR="00DC2371" w:rsidRDefault="00D92136" w:rsidP="00770775">
      <w:r w:rsidRPr="000165C2">
        <w:drawing>
          <wp:anchor distT="0" distB="0" distL="114300" distR="114300" simplePos="0" relativeHeight="251659264" behindDoc="0" locked="0" layoutInCell="1" allowOverlap="1" wp14:anchorId="31A2517E" wp14:editId="54442515">
            <wp:simplePos x="0" y="0"/>
            <wp:positionH relativeFrom="margin">
              <wp:align>left</wp:align>
            </wp:positionH>
            <wp:positionV relativeFrom="paragraph">
              <wp:posOffset>652145</wp:posOffset>
            </wp:positionV>
            <wp:extent cx="2403475" cy="1249680"/>
            <wp:effectExtent l="0" t="0" r="0" b="7620"/>
            <wp:wrapSquare wrapText="bothSides"/>
            <wp:docPr id="18744527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52733"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403475" cy="1249680"/>
                    </a:xfrm>
                    <a:prstGeom prst="rect">
                      <a:avLst/>
                    </a:prstGeom>
                  </pic:spPr>
                </pic:pic>
              </a:graphicData>
            </a:graphic>
            <wp14:sizeRelH relativeFrom="margin">
              <wp14:pctWidth>0</wp14:pctWidth>
            </wp14:sizeRelH>
            <wp14:sizeRelV relativeFrom="margin">
              <wp14:pctHeight>0</wp14:pctHeight>
            </wp14:sizeRelV>
          </wp:anchor>
        </w:drawing>
      </w:r>
      <w:r w:rsidR="00DC2371">
        <w:t>Mencionan lo que debe incluir una central de incendio: Panel principal convencionales, direccionales y transistores de Voz, y el Panel anunciador Remoto.</w:t>
      </w:r>
    </w:p>
    <w:p w14:paraId="706D5493" w14:textId="154D7B1B" w:rsidR="000165C2" w:rsidRDefault="000165C2" w:rsidP="00770775"/>
    <w:p w14:paraId="62412118" w14:textId="6E40A862" w:rsidR="00D92136" w:rsidRDefault="00D92136" w:rsidP="00770775"/>
    <w:p w14:paraId="3C258000" w14:textId="698F4145" w:rsidR="00D92136" w:rsidRDefault="00D92136" w:rsidP="00770775"/>
    <w:p w14:paraId="3D41FE55" w14:textId="00A4E850" w:rsidR="00D92136" w:rsidRDefault="00D92136" w:rsidP="00770775"/>
    <w:p w14:paraId="52654569" w14:textId="030C554C" w:rsidR="00D92136" w:rsidRDefault="00D92136" w:rsidP="00770775"/>
    <w:p w14:paraId="2CFEF114" w14:textId="2FA09AD9" w:rsidR="00EE56D8" w:rsidRPr="00770775" w:rsidRDefault="00D92136" w:rsidP="00770775">
      <w:r w:rsidRPr="00FC7AA5">
        <w:drawing>
          <wp:anchor distT="0" distB="0" distL="114300" distR="114300" simplePos="0" relativeHeight="251658240" behindDoc="0" locked="0" layoutInCell="1" allowOverlap="1" wp14:anchorId="51BF4475" wp14:editId="14241F5D">
            <wp:simplePos x="0" y="0"/>
            <wp:positionH relativeFrom="column">
              <wp:posOffset>2966085</wp:posOffset>
            </wp:positionH>
            <wp:positionV relativeFrom="paragraph">
              <wp:posOffset>262890</wp:posOffset>
            </wp:positionV>
            <wp:extent cx="2568575" cy="1472565"/>
            <wp:effectExtent l="0" t="0" r="3175" b="0"/>
            <wp:wrapSquare wrapText="bothSides"/>
            <wp:docPr id="6866048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604838" name=""/>
                    <pic:cNvPicPr/>
                  </pic:nvPicPr>
                  <pic:blipFill>
                    <a:blip r:embed="rId5">
                      <a:extLst>
                        <a:ext uri="{28A0092B-C50C-407E-A947-70E740481C1C}">
                          <a14:useLocalDpi xmlns:a14="http://schemas.microsoft.com/office/drawing/2010/main" val="0"/>
                        </a:ext>
                      </a:extLst>
                    </a:blip>
                    <a:stretch>
                      <a:fillRect/>
                    </a:stretch>
                  </pic:blipFill>
                  <pic:spPr>
                    <a:xfrm>
                      <a:off x="0" y="0"/>
                      <a:ext cx="2568575" cy="1472565"/>
                    </a:xfrm>
                    <a:prstGeom prst="rect">
                      <a:avLst/>
                    </a:prstGeom>
                  </pic:spPr>
                </pic:pic>
              </a:graphicData>
            </a:graphic>
            <wp14:sizeRelH relativeFrom="margin">
              <wp14:pctWidth>0</wp14:pctWidth>
            </wp14:sizeRelH>
            <wp14:sizeRelV relativeFrom="margin">
              <wp14:pctHeight>0</wp14:pctHeight>
            </wp14:sizeRelV>
          </wp:anchor>
        </w:drawing>
      </w:r>
      <w:r w:rsidR="000165C2">
        <w:t xml:space="preserve">En el Sistema de extinción </w:t>
      </w:r>
      <w:r w:rsidR="00770775" w:rsidRPr="00770775">
        <w:t xml:space="preserve">se habló sobre las bombas contra incendio, que </w:t>
      </w:r>
      <w:r w:rsidR="00FC7AA5">
        <w:t>generan presión para transferir fluidos de un punto a otro por medio del movimiento centrifugo o desplazamiento positivo con la energía de un medio motriz</w:t>
      </w:r>
      <w:r w:rsidR="00770775" w:rsidRPr="00770775">
        <w:t>. Se explicaron varios tipos de bombas, incluyendo carcasa partida, succión final, verticales y tipo turbina, cada una adecuada para distintos tipos de edificios y riesgos.</w:t>
      </w:r>
      <w:r w:rsidR="00FC7AA5">
        <w:t xml:space="preserve"> </w:t>
      </w:r>
    </w:p>
    <w:p w14:paraId="4592D124" w14:textId="0C326F5F" w:rsidR="00D92136" w:rsidRDefault="00D92136" w:rsidP="00770775">
      <w:r>
        <w:t>Tipos de Motores Contra Incendio</w:t>
      </w:r>
    </w:p>
    <w:p w14:paraId="2E5FD0C0" w14:textId="05E75580" w:rsidR="00D92136" w:rsidRPr="00770775" w:rsidRDefault="0090285B" w:rsidP="00770775">
      <w:r w:rsidRPr="00D92136">
        <w:drawing>
          <wp:anchor distT="0" distB="0" distL="114300" distR="114300" simplePos="0" relativeHeight="251660288" behindDoc="0" locked="0" layoutInCell="1" allowOverlap="1" wp14:anchorId="5AA4736C" wp14:editId="08EAC5D3">
            <wp:simplePos x="0" y="0"/>
            <wp:positionH relativeFrom="margin">
              <wp:align>left</wp:align>
            </wp:positionH>
            <wp:positionV relativeFrom="paragraph">
              <wp:posOffset>-2514</wp:posOffset>
            </wp:positionV>
            <wp:extent cx="3696511" cy="1627003"/>
            <wp:effectExtent l="0" t="0" r="0" b="0"/>
            <wp:wrapSquare wrapText="bothSides"/>
            <wp:docPr id="10998513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851362" name=""/>
                    <pic:cNvPicPr/>
                  </pic:nvPicPr>
                  <pic:blipFill>
                    <a:blip r:embed="rId6">
                      <a:extLst>
                        <a:ext uri="{28A0092B-C50C-407E-A947-70E740481C1C}">
                          <a14:useLocalDpi xmlns:a14="http://schemas.microsoft.com/office/drawing/2010/main" val="0"/>
                        </a:ext>
                      </a:extLst>
                    </a:blip>
                    <a:stretch>
                      <a:fillRect/>
                    </a:stretch>
                  </pic:blipFill>
                  <pic:spPr>
                    <a:xfrm>
                      <a:off x="0" y="0"/>
                      <a:ext cx="3696511" cy="1627003"/>
                    </a:xfrm>
                    <a:prstGeom prst="rect">
                      <a:avLst/>
                    </a:prstGeom>
                  </pic:spPr>
                </pic:pic>
              </a:graphicData>
            </a:graphic>
            <wp14:sizeRelH relativeFrom="margin">
              <wp14:pctWidth>0</wp14:pctWidth>
            </wp14:sizeRelH>
            <wp14:sizeRelV relativeFrom="margin">
              <wp14:pctHeight>0</wp14:pctHeight>
            </wp14:sizeRelV>
          </wp:anchor>
        </w:drawing>
      </w:r>
    </w:p>
    <w:p w14:paraId="0CCFEB47" w14:textId="7EFC7748" w:rsidR="00D92136" w:rsidRDefault="00D92136" w:rsidP="00770775"/>
    <w:p w14:paraId="0B847F9B" w14:textId="77777777" w:rsidR="00D92136" w:rsidRDefault="00D92136" w:rsidP="00770775"/>
    <w:p w14:paraId="6964A9DF" w14:textId="77777777" w:rsidR="00D92136" w:rsidRDefault="00D92136" w:rsidP="00770775"/>
    <w:p w14:paraId="6F08C448" w14:textId="75200B76" w:rsidR="00770775" w:rsidRPr="00770775" w:rsidRDefault="00770775" w:rsidP="00770775">
      <w:r w:rsidRPr="00770775">
        <w:lastRenderedPageBreak/>
        <w:t>Los componentes principales de un cuarto de bomba, un espacio clave en sistemas de protección contra incendios o manejo de agua y este conjunto de equipos trabaja de manera coordinada para garantizar que, ante un incendio o una emergencia, el sistema tenga la presión y el flujo de agua adecuados.</w:t>
      </w:r>
    </w:p>
    <w:p w14:paraId="3E5EEA6E" w14:textId="77777777" w:rsidR="00770775" w:rsidRPr="00770775" w:rsidRDefault="00770775" w:rsidP="00770775"/>
    <w:p w14:paraId="6DB1080F" w14:textId="185EFFC6" w:rsidR="00770775" w:rsidRPr="00770775" w:rsidRDefault="00770775" w:rsidP="00770775">
      <w:r w:rsidRPr="00770775">
        <w:t>Elementos</w:t>
      </w:r>
      <w:r w:rsidR="00962573">
        <w:t xml:space="preserve"> básicos en un cuarto de Bomba:</w:t>
      </w:r>
    </w:p>
    <w:p w14:paraId="40AA9385" w14:textId="0A659921" w:rsidR="004A277F" w:rsidRPr="00770775" w:rsidRDefault="00770775" w:rsidP="00770775">
      <w:r w:rsidRPr="00770775">
        <w:t xml:space="preserve">Tanque de ACPM </w:t>
      </w:r>
      <w:r w:rsidR="00962573">
        <w:t>a</w:t>
      </w:r>
      <w:r w:rsidRPr="00770775">
        <w:t>lmacena el combustible que alimenta la bomba</w:t>
      </w:r>
      <w:r w:rsidR="00962573">
        <w:t xml:space="preserve">,  La </w:t>
      </w:r>
      <w:r w:rsidRPr="00770775">
        <w:t>Válvula de alivio</w:t>
      </w:r>
      <w:r w:rsidR="00962573">
        <w:t xml:space="preserve"> r</w:t>
      </w:r>
      <w:r w:rsidRPr="00770775">
        <w:t>egula la presión y protege los componentes</w:t>
      </w:r>
      <w:r w:rsidR="00962573">
        <w:t xml:space="preserve">, La </w:t>
      </w:r>
      <w:r w:rsidRPr="00770775">
        <w:t xml:space="preserve">Bomba principal </w:t>
      </w:r>
      <w:r w:rsidR="00962573">
        <w:t>e</w:t>
      </w:r>
      <w:r w:rsidRPr="00770775">
        <w:t>s la encargada de mover el agua en caso de emergencia</w:t>
      </w:r>
      <w:r w:rsidR="00962573">
        <w:t xml:space="preserve">, La </w:t>
      </w:r>
      <w:r w:rsidRPr="00770775">
        <w:t>Bomba jockey</w:t>
      </w:r>
      <w:r w:rsidR="00962573">
        <w:t xml:space="preserve"> m</w:t>
      </w:r>
      <w:r w:rsidRPr="00770775">
        <w:t>antiene la presión constante en el sistema para que la bomba principal no se active innecesariamente</w:t>
      </w:r>
      <w:r w:rsidR="00962573">
        <w:t>, los t</w:t>
      </w:r>
      <w:r w:rsidRPr="00770775">
        <w:t>ableros controladores</w:t>
      </w:r>
      <w:r w:rsidR="00962573">
        <w:t xml:space="preserve"> que s</w:t>
      </w:r>
      <w:r w:rsidRPr="00770775">
        <w:t>upervisan y controlan el funcionamiento del sistema</w:t>
      </w:r>
      <w:r w:rsidR="00962573">
        <w:t>, el t</w:t>
      </w:r>
      <w:r w:rsidRPr="00770775">
        <w:t>anque de agua</w:t>
      </w:r>
      <w:r w:rsidR="00962573">
        <w:t xml:space="preserve"> e</w:t>
      </w:r>
      <w:r w:rsidRPr="00770775">
        <w:t>s el depósito de agua que alimenta todo el sistema</w:t>
      </w:r>
      <w:r w:rsidR="00962573">
        <w:t xml:space="preserve"> El </w:t>
      </w:r>
      <w:r w:rsidR="00D92136">
        <w:t>Cabezal de Prueba</w:t>
      </w:r>
      <w:r w:rsidR="00962573">
        <w:t xml:space="preserve"> p</w:t>
      </w:r>
      <w:r w:rsidR="004A277F">
        <w:t xml:space="preserve">ueden establecer el desempeño </w:t>
      </w:r>
      <w:r w:rsidR="00962573">
        <w:t xml:space="preserve">de las bombas al pasar el agua, realiza lectura a los caudales y elabora curvas de prueba para asegurar el funcionamiento, La </w:t>
      </w:r>
      <w:r w:rsidR="00D92136">
        <w:t>Válvula Cheque</w:t>
      </w:r>
      <w:r w:rsidR="00962573">
        <w:t xml:space="preserve">, La </w:t>
      </w:r>
      <w:r w:rsidR="00D92136">
        <w:t>L</w:t>
      </w:r>
      <w:r w:rsidR="004A277F">
        <w:t>í</w:t>
      </w:r>
      <w:r w:rsidR="00D92136">
        <w:t>ne</w:t>
      </w:r>
      <w:r w:rsidR="004A277F">
        <w:t>a Retorno</w:t>
      </w:r>
      <w:r w:rsidR="00962573">
        <w:t xml:space="preserve"> </w:t>
      </w:r>
      <w:r w:rsidR="0090285B">
        <w:t xml:space="preserve">que provoca que el agua regrese a su punto de origen y La </w:t>
      </w:r>
      <w:r w:rsidR="004A277F">
        <w:t>Línea Impulsión</w:t>
      </w:r>
      <w:r w:rsidR="0090285B">
        <w:t xml:space="preserve"> </w:t>
      </w:r>
      <w:r w:rsidR="0090285B" w:rsidRPr="0090285B">
        <w:t>es el tramo de tubería que conduce el agua desde la estación de bombeo hasta el reservorio.</w:t>
      </w:r>
    </w:p>
    <w:p w14:paraId="03A6F899" w14:textId="307385AB" w:rsidR="00770775" w:rsidRDefault="00770775" w:rsidP="00770775"/>
    <w:p w14:paraId="3CEF1213" w14:textId="67399D18" w:rsidR="004A277F" w:rsidRDefault="004A277F" w:rsidP="00770775">
      <w:r>
        <w:t>Otros elementos:</w:t>
      </w:r>
      <w:r w:rsidRPr="004A277F">
        <w:t xml:space="preserve"> </w:t>
      </w:r>
      <w:r w:rsidRPr="004A277F">
        <w:drawing>
          <wp:inline distT="0" distB="0" distL="0" distR="0" wp14:anchorId="4D90F874" wp14:editId="22705A68">
            <wp:extent cx="5592052" cy="3291840"/>
            <wp:effectExtent l="0" t="0" r="8890" b="3810"/>
            <wp:docPr id="3743747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74761" name=""/>
                    <pic:cNvPicPr/>
                  </pic:nvPicPr>
                  <pic:blipFill>
                    <a:blip r:embed="rId7"/>
                    <a:stretch>
                      <a:fillRect/>
                    </a:stretch>
                  </pic:blipFill>
                  <pic:spPr>
                    <a:xfrm>
                      <a:off x="0" y="0"/>
                      <a:ext cx="5620313" cy="3308476"/>
                    </a:xfrm>
                    <a:prstGeom prst="rect">
                      <a:avLst/>
                    </a:prstGeom>
                  </pic:spPr>
                </pic:pic>
              </a:graphicData>
            </a:graphic>
          </wp:inline>
        </w:drawing>
      </w:r>
    </w:p>
    <w:p w14:paraId="07F8C5FD" w14:textId="1FA62E9C" w:rsidR="004A277F" w:rsidRDefault="004A277F" w:rsidP="00770775">
      <w:r w:rsidRPr="004A277F">
        <w:lastRenderedPageBreak/>
        <w:drawing>
          <wp:inline distT="0" distB="0" distL="0" distR="0" wp14:anchorId="5C1B712F" wp14:editId="5A4CECB3">
            <wp:extent cx="5864860" cy="3914504"/>
            <wp:effectExtent l="0" t="0" r="2540" b="0"/>
            <wp:docPr id="18137892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789271" name=""/>
                    <pic:cNvPicPr/>
                  </pic:nvPicPr>
                  <pic:blipFill>
                    <a:blip r:embed="rId8"/>
                    <a:stretch>
                      <a:fillRect/>
                    </a:stretch>
                  </pic:blipFill>
                  <pic:spPr>
                    <a:xfrm>
                      <a:off x="0" y="0"/>
                      <a:ext cx="5910884" cy="3945223"/>
                    </a:xfrm>
                    <a:prstGeom prst="rect">
                      <a:avLst/>
                    </a:prstGeom>
                  </pic:spPr>
                </pic:pic>
              </a:graphicData>
            </a:graphic>
          </wp:inline>
        </w:drawing>
      </w:r>
    </w:p>
    <w:p w14:paraId="4FB33E67" w14:textId="776CE3A0" w:rsidR="004A277F" w:rsidRDefault="004A277F" w:rsidP="00770775">
      <w:r w:rsidRPr="004A277F">
        <w:drawing>
          <wp:inline distT="0" distB="0" distL="0" distR="0" wp14:anchorId="27655EF9" wp14:editId="13B046BA">
            <wp:extent cx="5865154" cy="3307080"/>
            <wp:effectExtent l="0" t="0" r="2540" b="7620"/>
            <wp:docPr id="15238520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852006" name=""/>
                    <pic:cNvPicPr/>
                  </pic:nvPicPr>
                  <pic:blipFill>
                    <a:blip r:embed="rId9"/>
                    <a:stretch>
                      <a:fillRect/>
                    </a:stretch>
                  </pic:blipFill>
                  <pic:spPr>
                    <a:xfrm>
                      <a:off x="0" y="0"/>
                      <a:ext cx="5891723" cy="3322061"/>
                    </a:xfrm>
                    <a:prstGeom prst="rect">
                      <a:avLst/>
                    </a:prstGeom>
                  </pic:spPr>
                </pic:pic>
              </a:graphicData>
            </a:graphic>
          </wp:inline>
        </w:drawing>
      </w:r>
    </w:p>
    <w:sectPr w:rsidR="004A277F">
      <w:pgSz w:w="11906" w:h="16838"/>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9"/>
  <w:proofState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768"/>
    <w:rsid w:val="000071B0"/>
    <w:rsid w:val="000165C2"/>
    <w:rsid w:val="0006489D"/>
    <w:rsid w:val="00157768"/>
    <w:rsid w:val="003700E6"/>
    <w:rsid w:val="0039454B"/>
    <w:rsid w:val="004431DE"/>
    <w:rsid w:val="004A277F"/>
    <w:rsid w:val="005E3FE8"/>
    <w:rsid w:val="006F4E2C"/>
    <w:rsid w:val="007606E8"/>
    <w:rsid w:val="00770775"/>
    <w:rsid w:val="00801EB8"/>
    <w:rsid w:val="0084736F"/>
    <w:rsid w:val="0090285B"/>
    <w:rsid w:val="00962573"/>
    <w:rsid w:val="00A67246"/>
    <w:rsid w:val="00A80A86"/>
    <w:rsid w:val="00CA5983"/>
    <w:rsid w:val="00D92136"/>
    <w:rsid w:val="00DC2371"/>
    <w:rsid w:val="00E95668"/>
    <w:rsid w:val="00EC5AD3"/>
    <w:rsid w:val="00EE56D8"/>
    <w:rsid w:val="00F31ADE"/>
    <w:rsid w:val="00FC7AA5"/>
    <w:rsid w:val="00FD4412"/>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9B996"/>
  <w15:chartTrackingRefBased/>
  <w15:docId w15:val="{828466B9-D830-9744-867D-7D528D175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s-U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CO"/>
    </w:rPr>
  </w:style>
  <w:style w:type="paragraph" w:styleId="Ttulo1">
    <w:name w:val="heading 1"/>
    <w:basedOn w:val="Normal"/>
    <w:next w:val="Normal"/>
    <w:link w:val="Ttulo1Car"/>
    <w:uiPriority w:val="9"/>
    <w:qFormat/>
    <w:rsid w:val="001577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1577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15776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15776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15776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5776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5776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5776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57768"/>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5776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15776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15776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15776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15776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5776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5776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5776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57768"/>
    <w:rPr>
      <w:rFonts w:eastAsiaTheme="majorEastAsia" w:cstheme="majorBidi"/>
      <w:color w:val="272727" w:themeColor="text1" w:themeTint="D8"/>
    </w:rPr>
  </w:style>
  <w:style w:type="paragraph" w:styleId="Ttulo">
    <w:name w:val="Title"/>
    <w:basedOn w:val="Normal"/>
    <w:next w:val="Normal"/>
    <w:link w:val="TtuloCar"/>
    <w:uiPriority w:val="10"/>
    <w:qFormat/>
    <w:rsid w:val="001577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5776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5776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5776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57768"/>
    <w:pPr>
      <w:spacing w:before="160"/>
      <w:jc w:val="center"/>
    </w:pPr>
    <w:rPr>
      <w:i/>
      <w:iCs/>
      <w:color w:val="404040" w:themeColor="text1" w:themeTint="BF"/>
    </w:rPr>
  </w:style>
  <w:style w:type="character" w:customStyle="1" w:styleId="CitaCar">
    <w:name w:val="Cita Car"/>
    <w:basedOn w:val="Fuentedeprrafopredeter"/>
    <w:link w:val="Cita"/>
    <w:uiPriority w:val="29"/>
    <w:rsid w:val="00157768"/>
    <w:rPr>
      <w:i/>
      <w:iCs/>
      <w:color w:val="404040" w:themeColor="text1" w:themeTint="BF"/>
    </w:rPr>
  </w:style>
  <w:style w:type="paragraph" w:styleId="Prrafodelista">
    <w:name w:val="List Paragraph"/>
    <w:basedOn w:val="Normal"/>
    <w:uiPriority w:val="34"/>
    <w:qFormat/>
    <w:rsid w:val="00157768"/>
    <w:pPr>
      <w:ind w:left="720"/>
      <w:contextualSpacing/>
    </w:pPr>
  </w:style>
  <w:style w:type="character" w:styleId="nfasisintenso">
    <w:name w:val="Intense Emphasis"/>
    <w:basedOn w:val="Fuentedeprrafopredeter"/>
    <w:uiPriority w:val="21"/>
    <w:qFormat/>
    <w:rsid w:val="00157768"/>
    <w:rPr>
      <w:i/>
      <w:iCs/>
      <w:color w:val="0F4761" w:themeColor="accent1" w:themeShade="BF"/>
    </w:rPr>
  </w:style>
  <w:style w:type="paragraph" w:styleId="Citadestacada">
    <w:name w:val="Intense Quote"/>
    <w:basedOn w:val="Normal"/>
    <w:next w:val="Normal"/>
    <w:link w:val="CitadestacadaCar"/>
    <w:uiPriority w:val="30"/>
    <w:qFormat/>
    <w:rsid w:val="001577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57768"/>
    <w:rPr>
      <w:i/>
      <w:iCs/>
      <w:color w:val="0F4761" w:themeColor="accent1" w:themeShade="BF"/>
    </w:rPr>
  </w:style>
  <w:style w:type="character" w:styleId="Referenciaintensa">
    <w:name w:val="Intense Reference"/>
    <w:basedOn w:val="Fuentedeprrafopredeter"/>
    <w:uiPriority w:val="32"/>
    <w:qFormat/>
    <w:rsid w:val="0015776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146</TotalTime>
  <Pages>5</Pages>
  <Words>866</Words>
  <Characters>4938</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Danna Taborda Sierra</dc:creator>
  <cp:keywords/>
  <dc:description/>
  <cp:lastModifiedBy>Yessica Shairith Romero Orozco</cp:lastModifiedBy>
  <cp:revision>4</cp:revision>
  <dcterms:created xsi:type="dcterms:W3CDTF">2024-10-16T15:10:00Z</dcterms:created>
  <dcterms:modified xsi:type="dcterms:W3CDTF">2024-10-18T00:06:00Z</dcterms:modified>
</cp:coreProperties>
</file>